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1580C" w:rsidRDefault="00F92268" w:rsidP="00850792">
      <w:pPr>
        <w:pStyle w:val="BodyText"/>
        <w:rPr>
          <w:sz w:val="6"/>
          <w:szCs w:val="6"/>
        </w:rPr>
      </w:pPr>
      <w:r w:rsidRPr="0041580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1580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1580C" w:rsidRDefault="00F92268" w:rsidP="00F246C7">
            <w:pPr>
              <w:pStyle w:val="RefTableData"/>
            </w:pPr>
            <w:r w:rsidRPr="0041580C">
              <w:t>Reference number(s)</w:t>
            </w:r>
          </w:p>
        </w:tc>
      </w:tr>
      <w:tr w:rsidR="00F92268" w:rsidRPr="0041580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75E343A" w:rsidR="00F92268" w:rsidRPr="0041580C" w:rsidRDefault="00AD09F4" w:rsidP="00F246C7">
            <w:pPr>
              <w:pStyle w:val="RefTableHeader"/>
            </w:pPr>
            <w:r w:rsidRPr="0041580C">
              <w:t>4088-A</w:t>
            </w:r>
          </w:p>
        </w:tc>
      </w:tr>
    </w:tbl>
    <w:p w14:paraId="74FBA5B4" w14:textId="77777777" w:rsidR="00051356" w:rsidRPr="0041580C" w:rsidRDefault="00051356" w:rsidP="00A672B3">
      <w:pPr>
        <w:pStyle w:val="BodyText"/>
        <w:rPr>
          <w:b/>
          <w:bCs/>
          <w:sz w:val="16"/>
          <w:szCs w:val="16"/>
        </w:rPr>
        <w:sectPr w:rsidR="00051356" w:rsidRPr="0041580C" w:rsidSect="001A487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98572A6" w:rsidR="004B15BB" w:rsidRPr="0041580C" w:rsidRDefault="002A069D" w:rsidP="007E5C16">
      <w:pPr>
        <w:pStyle w:val="Heading1"/>
      </w:pPr>
      <w:r w:rsidRPr="0041580C">
        <w:t>Specialty Guideline Management</w:t>
      </w:r>
      <w:r w:rsidR="008C54D9" w:rsidRPr="0041580C">
        <w:br/>
      </w:r>
      <w:r w:rsidRPr="0041580C">
        <w:t>Viltepso</w:t>
      </w:r>
    </w:p>
    <w:p w14:paraId="78861C92" w14:textId="6F8C27F6" w:rsidR="00203468" w:rsidRPr="0041580C" w:rsidRDefault="00C64534" w:rsidP="008E0F0D">
      <w:pPr>
        <w:pStyle w:val="Heading2"/>
      </w:pPr>
      <w:r w:rsidRPr="0041580C">
        <w:t xml:space="preserve">Products Referenced by this </w:t>
      </w:r>
      <w:r w:rsidR="00501602" w:rsidRPr="0041580C">
        <w:t>Document</w:t>
      </w:r>
    </w:p>
    <w:p w14:paraId="5455152B" w14:textId="0D1EF6EF" w:rsidR="008E0F0D" w:rsidRPr="0041580C" w:rsidRDefault="00D82D85" w:rsidP="008B73E8">
      <w:pPr>
        <w:pStyle w:val="BodyText"/>
      </w:pPr>
      <w:r w:rsidRPr="0041580C">
        <w:t xml:space="preserve">Drugs that are listed in the </w:t>
      </w:r>
      <w:r w:rsidR="000315F1" w:rsidRPr="0041580C">
        <w:t>following table</w:t>
      </w:r>
      <w:r w:rsidRPr="0041580C">
        <w:t xml:space="preserve"> include both brand and generic and all dosage forms and strengths unless otherwise stated. </w:t>
      </w:r>
      <w:r w:rsidR="00723B31">
        <w:t>Over-the-counter (</w:t>
      </w:r>
      <w:r w:rsidRPr="0041580C">
        <w:t>OTC</w:t>
      </w:r>
      <w:r w:rsidR="00723B31">
        <w:t>)</w:t>
      </w:r>
      <w:r w:rsidRPr="0041580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41580C" w14:paraId="158421F8" w14:textId="77777777" w:rsidTr="000C5A6F">
        <w:trPr>
          <w:cantSplit/>
          <w:trHeight w:val="288"/>
          <w:tblHeader/>
        </w:trPr>
        <w:tc>
          <w:tcPr>
            <w:tcW w:w="5265" w:type="dxa"/>
            <w:vAlign w:val="center"/>
          </w:tcPr>
          <w:p w14:paraId="2A27354A" w14:textId="1390179E" w:rsidR="00252CE1" w:rsidRPr="0041580C" w:rsidRDefault="00252CE1" w:rsidP="00AA1E6A">
            <w:pPr>
              <w:pStyle w:val="TableHeader"/>
            </w:pPr>
            <w:bookmarkStart w:id="0" w:name="_Hlk159603270"/>
            <w:r w:rsidRPr="0041580C">
              <w:t>Brand Name</w:t>
            </w:r>
          </w:p>
        </w:tc>
        <w:tc>
          <w:tcPr>
            <w:tcW w:w="5595" w:type="dxa"/>
            <w:vAlign w:val="center"/>
          </w:tcPr>
          <w:p w14:paraId="3D342BE1" w14:textId="75F11EF1" w:rsidR="00252CE1" w:rsidRPr="0041580C" w:rsidRDefault="00252CE1" w:rsidP="00AA1E6A">
            <w:pPr>
              <w:pStyle w:val="TableHeader"/>
            </w:pPr>
            <w:r w:rsidRPr="0041580C">
              <w:t>Generic Name</w:t>
            </w:r>
          </w:p>
        </w:tc>
      </w:tr>
      <w:tr w:rsidR="00585FFF" w:rsidRPr="0041580C" w14:paraId="2AD5C02D" w14:textId="77777777" w:rsidTr="000C5A6F">
        <w:trPr>
          <w:cantSplit/>
        </w:trPr>
        <w:tc>
          <w:tcPr>
            <w:tcW w:w="5265" w:type="dxa"/>
          </w:tcPr>
          <w:p w14:paraId="2D8FA8E3" w14:textId="2A8F9D62" w:rsidR="00585FFF" w:rsidRPr="0041580C" w:rsidRDefault="002A069D" w:rsidP="00E82ABA">
            <w:pPr>
              <w:pStyle w:val="TableDataUnpadded"/>
            </w:pPr>
            <w:r w:rsidRPr="0041580C">
              <w:t>Viltepso</w:t>
            </w:r>
          </w:p>
        </w:tc>
        <w:tc>
          <w:tcPr>
            <w:tcW w:w="5595" w:type="dxa"/>
          </w:tcPr>
          <w:p w14:paraId="7E26A004" w14:textId="133C87BD" w:rsidR="00585FFF" w:rsidRPr="0041580C" w:rsidRDefault="002A069D" w:rsidP="00E82ABA">
            <w:pPr>
              <w:pStyle w:val="TableDataUnpadded"/>
            </w:pPr>
            <w:r w:rsidRPr="0041580C">
              <w:t>viltolarsen</w:t>
            </w:r>
          </w:p>
        </w:tc>
      </w:tr>
    </w:tbl>
    <w:bookmarkEnd w:id="0"/>
    <w:p w14:paraId="14CE6108" w14:textId="2C4EC762" w:rsidR="00FC1AAD" w:rsidRPr="0041580C" w:rsidRDefault="00ED052F" w:rsidP="00AA2A94">
      <w:pPr>
        <w:pStyle w:val="Heading2"/>
        <w:tabs>
          <w:tab w:val="left" w:pos="9540"/>
        </w:tabs>
      </w:pPr>
      <w:r w:rsidRPr="0041580C">
        <w:t xml:space="preserve">Indications </w:t>
      </w:r>
    </w:p>
    <w:p w14:paraId="72FB0A18" w14:textId="6E43BF3B" w:rsidR="002A069D" w:rsidRPr="0041580C" w:rsidRDefault="002A069D" w:rsidP="0041580C">
      <w:pPr>
        <w:pStyle w:val="BodyText"/>
      </w:pPr>
      <w:r w:rsidRPr="0041580C">
        <w:t>The indications below including FDA-approved indications and compendial uses are considered a covered benefit provided that all the approval criteria are met and the member has no exclusions to the prescribed therapy.</w:t>
      </w:r>
    </w:p>
    <w:p w14:paraId="134B5687" w14:textId="7186A766" w:rsidR="00ED052F" w:rsidRPr="0041580C" w:rsidRDefault="00ED052F" w:rsidP="00ED052F">
      <w:pPr>
        <w:pStyle w:val="Heading3"/>
        <w:keepNext w:val="0"/>
      </w:pPr>
      <w:r w:rsidRPr="0041580C">
        <w:t>FDA-approved Indications</w:t>
      </w:r>
    </w:p>
    <w:p w14:paraId="5AF8FB25" w14:textId="77777777" w:rsidR="002A069D" w:rsidRPr="0041580C" w:rsidRDefault="002A069D" w:rsidP="0041580C">
      <w:pPr>
        <w:pStyle w:val="BodyText"/>
      </w:pPr>
      <w:r w:rsidRPr="0041580C">
        <w:t>Viltepso is indicated for the treatment of Duchenne muscular dystrophy (DMD) in patients who have a confirmed mutation of the DMD gene that is amenable to exon 53 skipping.</w:t>
      </w:r>
    </w:p>
    <w:p w14:paraId="19290697" w14:textId="398C4E3E" w:rsidR="002A069D" w:rsidRPr="0041580C" w:rsidRDefault="002A069D" w:rsidP="0041580C">
      <w:pPr>
        <w:pStyle w:val="BodyText"/>
      </w:pPr>
      <w:r w:rsidRPr="0041580C">
        <w:t>This indication is approved under accelerated approval based on an increase in dystrophin production in skeletal muscle observed in patients treated with Viltepso. Continued approval for this indication may be contingent upon verification and description of clinical benefit in a confirmatory trial.</w:t>
      </w:r>
    </w:p>
    <w:p w14:paraId="1220526B" w14:textId="55EE7F09" w:rsidR="002A069D" w:rsidRPr="0041580C" w:rsidRDefault="002A069D" w:rsidP="0041580C">
      <w:pPr>
        <w:pStyle w:val="BodyText"/>
      </w:pPr>
      <w:r w:rsidRPr="0041580C">
        <w:t>All other indications are considered experimental/investigational and not medically necessary.</w:t>
      </w:r>
    </w:p>
    <w:p w14:paraId="36381B6D" w14:textId="6EE60A84" w:rsidR="000D2496" w:rsidRPr="0041580C" w:rsidRDefault="000D2496" w:rsidP="0041580C">
      <w:pPr>
        <w:pStyle w:val="Heading2"/>
        <w:keepNext w:val="0"/>
        <w:widowControl w:val="0"/>
      </w:pPr>
      <w:r w:rsidRPr="0041580C">
        <w:t>Documentation</w:t>
      </w:r>
    </w:p>
    <w:p w14:paraId="14915BD4" w14:textId="77777777" w:rsidR="002A069D" w:rsidRPr="0041580C" w:rsidRDefault="002A069D" w:rsidP="0041580C">
      <w:pPr>
        <w:pStyle w:val="BodyText"/>
        <w:widowControl w:val="0"/>
      </w:pPr>
      <w:r w:rsidRPr="0041580C">
        <w:t xml:space="preserve">Submission of the following information is necessary to initiate the prior authorization review: </w:t>
      </w:r>
    </w:p>
    <w:p w14:paraId="277CA28B" w14:textId="1D31ADA6" w:rsidR="002A069D" w:rsidRPr="0041580C" w:rsidRDefault="002A069D" w:rsidP="0041580C">
      <w:pPr>
        <w:pStyle w:val="ListParagraph"/>
        <w:widowControl w:val="0"/>
        <w:numPr>
          <w:ilvl w:val="0"/>
          <w:numId w:val="28"/>
        </w:numPr>
        <w:contextualSpacing w:val="0"/>
      </w:pPr>
      <w:r w:rsidRPr="0041580C">
        <w:t xml:space="preserve">Initial requests: </w:t>
      </w:r>
    </w:p>
    <w:p w14:paraId="73746FC1" w14:textId="7EB42C2B" w:rsidR="002A069D" w:rsidRPr="0041580C" w:rsidRDefault="002A069D" w:rsidP="0041580C">
      <w:pPr>
        <w:pStyle w:val="ListParagraph"/>
        <w:widowControl w:val="0"/>
        <w:numPr>
          <w:ilvl w:val="1"/>
          <w:numId w:val="30"/>
        </w:numPr>
        <w:contextualSpacing w:val="0"/>
      </w:pPr>
      <w:r w:rsidRPr="0041580C">
        <w:lastRenderedPageBreak/>
        <w:t>Laboratory confirmation of Duchenne muscular dystrophy (DMD) diagnosis with a DMD gene mutation that is amenable to exon 53 skipping (refer to examples in Appendix).</w:t>
      </w:r>
    </w:p>
    <w:p w14:paraId="54F04755" w14:textId="0428F41B" w:rsidR="002A069D" w:rsidRPr="0041580C" w:rsidRDefault="002A069D" w:rsidP="0041580C">
      <w:pPr>
        <w:pStyle w:val="ListParagraph"/>
        <w:widowControl w:val="0"/>
        <w:numPr>
          <w:ilvl w:val="1"/>
          <w:numId w:val="30"/>
        </w:numPr>
        <w:contextualSpacing w:val="0"/>
      </w:pPr>
      <w:r w:rsidRPr="0041580C">
        <w:t>If applicable, medical records confirming a worsening in clinical status since receiving gene replacement therapy.</w:t>
      </w:r>
    </w:p>
    <w:p w14:paraId="223EBA61" w14:textId="5A1D2F09" w:rsidR="002A069D" w:rsidRPr="0041580C" w:rsidRDefault="002A069D" w:rsidP="0041580C">
      <w:pPr>
        <w:pStyle w:val="ListParagraph"/>
        <w:widowControl w:val="0"/>
        <w:numPr>
          <w:ilvl w:val="0"/>
          <w:numId w:val="28"/>
        </w:numPr>
        <w:contextualSpacing w:val="0"/>
      </w:pPr>
      <w:r w:rsidRPr="0041580C">
        <w:t>Continuation of therapy requests: documentation (e.g., chart notes) of response to therapy.</w:t>
      </w:r>
    </w:p>
    <w:p w14:paraId="4A5B15F8" w14:textId="0A2E576D" w:rsidR="00006174" w:rsidRPr="0041580C" w:rsidRDefault="00006174" w:rsidP="00006174">
      <w:pPr>
        <w:pStyle w:val="Heading2"/>
      </w:pPr>
      <w:r w:rsidRPr="0041580C">
        <w:t>Prescriber Specialties</w:t>
      </w:r>
    </w:p>
    <w:p w14:paraId="20F28C24" w14:textId="35BA88BC" w:rsidR="0050164C" w:rsidRPr="0041580C" w:rsidRDefault="0050164C" w:rsidP="0041580C">
      <w:pPr>
        <w:pStyle w:val="BodyText"/>
      </w:pPr>
      <w:r w:rsidRPr="0041580C">
        <w:t>This medication must be prescribed by or in consultation with a physician who specializes in the treatment of Duchenne muscular dystrophy (DMD).</w:t>
      </w:r>
    </w:p>
    <w:p w14:paraId="50A38FBA" w14:textId="2EDCB29C" w:rsidR="00FE0C63" w:rsidRPr="0041580C" w:rsidRDefault="00685107" w:rsidP="00E050E1">
      <w:pPr>
        <w:pStyle w:val="Heading2"/>
      </w:pPr>
      <w:r w:rsidRPr="0041580C">
        <w:t>Coverage Criteria</w:t>
      </w:r>
    </w:p>
    <w:p w14:paraId="7BD4A188" w14:textId="1E886490" w:rsidR="0050164C" w:rsidRPr="0041580C" w:rsidRDefault="0050164C" w:rsidP="0050164C">
      <w:pPr>
        <w:pStyle w:val="Heading3"/>
      </w:pPr>
      <w:r w:rsidRPr="0041580C">
        <w:t>Duchenne Muscular Dystrophy</w:t>
      </w:r>
    </w:p>
    <w:p w14:paraId="2745EB93" w14:textId="77777777" w:rsidR="0050164C" w:rsidRPr="0041580C" w:rsidRDefault="0050164C" w:rsidP="0041580C">
      <w:pPr>
        <w:pStyle w:val="BodyText"/>
      </w:pPr>
      <w:r w:rsidRPr="0041580C">
        <w:t>Authorization of 6 months may be granted for treatment of DMD when all of the following criteria are met:</w:t>
      </w:r>
    </w:p>
    <w:p w14:paraId="406B21F8" w14:textId="0790D9DB" w:rsidR="0050164C" w:rsidRPr="0041580C" w:rsidRDefault="0050164C" w:rsidP="0050164C">
      <w:pPr>
        <w:pStyle w:val="ListParagraph"/>
        <w:numPr>
          <w:ilvl w:val="0"/>
          <w:numId w:val="31"/>
        </w:numPr>
        <w:contextualSpacing w:val="0"/>
      </w:pPr>
      <w:r w:rsidRPr="0041580C">
        <w:t xml:space="preserve">Genetic testing was conducted to confirm the diagnosis of DMD and to identify the specific type of DMD gene mutation. </w:t>
      </w:r>
    </w:p>
    <w:p w14:paraId="69031071" w14:textId="3C8AE127" w:rsidR="0050164C" w:rsidRPr="0041580C" w:rsidRDefault="0050164C" w:rsidP="0050164C">
      <w:pPr>
        <w:pStyle w:val="ListParagraph"/>
        <w:numPr>
          <w:ilvl w:val="0"/>
          <w:numId w:val="31"/>
        </w:numPr>
        <w:contextualSpacing w:val="0"/>
      </w:pPr>
      <w:r w:rsidRPr="0041580C">
        <w:t>The DMD gene mutation is amenable to exon 53 skipping (refer to examples in Appendix).</w:t>
      </w:r>
    </w:p>
    <w:p w14:paraId="359AA7BA" w14:textId="276A497B" w:rsidR="0050164C" w:rsidRPr="0041580C" w:rsidRDefault="0050164C" w:rsidP="0050164C">
      <w:pPr>
        <w:pStyle w:val="ListParagraph"/>
        <w:numPr>
          <w:ilvl w:val="0"/>
          <w:numId w:val="31"/>
        </w:numPr>
        <w:contextualSpacing w:val="0"/>
      </w:pPr>
      <w:r w:rsidRPr="0041580C">
        <w:t>Treatment with Viltepso is initiated before the age of 10.</w:t>
      </w:r>
    </w:p>
    <w:p w14:paraId="09215AE6" w14:textId="67603696" w:rsidR="0050164C" w:rsidRPr="0041580C" w:rsidRDefault="0050164C" w:rsidP="0050164C">
      <w:pPr>
        <w:pStyle w:val="ListParagraph"/>
        <w:numPr>
          <w:ilvl w:val="0"/>
          <w:numId w:val="31"/>
        </w:numPr>
        <w:contextualSpacing w:val="0"/>
      </w:pPr>
      <w:r w:rsidRPr="0041580C">
        <w:t xml:space="preserve">Member is able to walk independently without assistive devices. </w:t>
      </w:r>
    </w:p>
    <w:p w14:paraId="5FA8D23D" w14:textId="275C49A8" w:rsidR="0050164C" w:rsidRPr="0041580C" w:rsidRDefault="0050164C" w:rsidP="0050164C">
      <w:pPr>
        <w:pStyle w:val="ListParagraph"/>
        <w:numPr>
          <w:ilvl w:val="0"/>
          <w:numId w:val="31"/>
        </w:numPr>
        <w:contextualSpacing w:val="0"/>
      </w:pPr>
      <w:r w:rsidRPr="0041580C">
        <w:t>Member meets one of the following criteria:</w:t>
      </w:r>
    </w:p>
    <w:p w14:paraId="6A966033" w14:textId="67AD6719" w:rsidR="0050164C" w:rsidRPr="0041580C" w:rsidRDefault="0050164C" w:rsidP="0050164C">
      <w:pPr>
        <w:pStyle w:val="ListParagraph"/>
        <w:numPr>
          <w:ilvl w:val="1"/>
          <w:numId w:val="33"/>
        </w:numPr>
        <w:contextualSpacing w:val="0"/>
      </w:pPr>
      <w:r w:rsidRPr="0041580C">
        <w:t>Member has not previously received gene replacement therapy for DMD (e.g., Elevidys).</w:t>
      </w:r>
    </w:p>
    <w:p w14:paraId="25F56FE7" w14:textId="075ED910" w:rsidR="0050164C" w:rsidRPr="0041580C" w:rsidRDefault="0050164C" w:rsidP="0050164C">
      <w:pPr>
        <w:pStyle w:val="ListParagraph"/>
        <w:numPr>
          <w:ilvl w:val="1"/>
          <w:numId w:val="33"/>
        </w:numPr>
        <w:contextualSpacing w:val="0"/>
      </w:pPr>
      <w:r w:rsidRPr="0041580C">
        <w:t>Member has previously received gene replacement therapy for DMD (e.g., Elevidys) and has experienced a worsening in clinical status since receiving gene replacement therapy (e.g., decline in ambulatory function).</w:t>
      </w:r>
    </w:p>
    <w:p w14:paraId="53D2AF8F" w14:textId="338B548D" w:rsidR="0050164C" w:rsidRPr="0041580C" w:rsidRDefault="0050164C" w:rsidP="0050164C">
      <w:pPr>
        <w:pStyle w:val="ListParagraph"/>
        <w:numPr>
          <w:ilvl w:val="0"/>
          <w:numId w:val="31"/>
        </w:numPr>
        <w:contextualSpacing w:val="0"/>
      </w:pPr>
      <w:r w:rsidRPr="0041580C">
        <w:t>Member will not exceed a dose of 80 mg/kg once weekly.</w:t>
      </w:r>
    </w:p>
    <w:p w14:paraId="338CBD19" w14:textId="797BDF36" w:rsidR="0050164C" w:rsidRPr="0041580C" w:rsidRDefault="0050164C" w:rsidP="0050164C">
      <w:pPr>
        <w:pStyle w:val="ListParagraph"/>
        <w:numPr>
          <w:ilvl w:val="0"/>
          <w:numId w:val="31"/>
        </w:numPr>
        <w:contextualSpacing w:val="0"/>
      </w:pPr>
      <w:r w:rsidRPr="0041580C">
        <w:t>The requested medication will not be used concomitantly with golodirsen.</w:t>
      </w:r>
    </w:p>
    <w:p w14:paraId="3A643EC3" w14:textId="1D1C6085" w:rsidR="00A501AC" w:rsidRPr="0041580C" w:rsidRDefault="00A501AC" w:rsidP="00A501AC">
      <w:pPr>
        <w:pStyle w:val="Heading2"/>
      </w:pPr>
      <w:r w:rsidRPr="0041580C">
        <w:t>Continuation of Therapy</w:t>
      </w:r>
    </w:p>
    <w:p w14:paraId="5F03B20A" w14:textId="77777777" w:rsidR="0041580C" w:rsidRDefault="0050164C" w:rsidP="0041580C">
      <w:pPr>
        <w:pStyle w:val="BodyText"/>
      </w:pPr>
      <w:r w:rsidRPr="0041580C">
        <w:t>Note: Members who were previously established on Viltepso and subsequently administered gene replacement therapy (e.g., Elevidys) must meet all initial criteria prior to re-starting Viltepso.</w:t>
      </w:r>
    </w:p>
    <w:p w14:paraId="7E40279E" w14:textId="77777777" w:rsidR="0050164C" w:rsidRPr="0041580C" w:rsidRDefault="0050164C" w:rsidP="0041580C">
      <w:pPr>
        <w:pStyle w:val="BodyText"/>
      </w:pPr>
      <w:r w:rsidRPr="0041580C">
        <w:t xml:space="preserve">Authorization of 12 months may be granted for members requesting continuation of therapy when </w:t>
      </w:r>
      <w:proofErr w:type="gramStart"/>
      <w:r w:rsidRPr="0041580C">
        <w:t>all of</w:t>
      </w:r>
      <w:proofErr w:type="gramEnd"/>
      <w:r w:rsidRPr="0041580C">
        <w:t xml:space="preserve"> the following criteria are met:</w:t>
      </w:r>
    </w:p>
    <w:p w14:paraId="7E3CC783" w14:textId="1099601F" w:rsidR="0050164C" w:rsidRPr="0041580C" w:rsidRDefault="0050164C" w:rsidP="00AD09F4">
      <w:pPr>
        <w:pStyle w:val="ListParagraph"/>
        <w:keepNext/>
        <w:keepLines/>
        <w:widowControl w:val="0"/>
        <w:numPr>
          <w:ilvl w:val="0"/>
          <w:numId w:val="34"/>
        </w:numPr>
        <w:contextualSpacing w:val="0"/>
      </w:pPr>
      <w:r w:rsidRPr="0041580C">
        <w:t>The member has demonstrated a response to therapy as evidenced by remaining ambulatory (e.g., not wheelchair dependent).</w:t>
      </w:r>
    </w:p>
    <w:p w14:paraId="7CBEFB2D" w14:textId="41CE81E2" w:rsidR="0050164C" w:rsidRPr="0041580C" w:rsidRDefault="0050164C" w:rsidP="00AD09F4">
      <w:pPr>
        <w:pStyle w:val="ListParagraph"/>
        <w:keepNext/>
        <w:keepLines/>
        <w:widowControl w:val="0"/>
        <w:numPr>
          <w:ilvl w:val="0"/>
          <w:numId w:val="34"/>
        </w:numPr>
        <w:contextualSpacing w:val="0"/>
      </w:pPr>
      <w:r w:rsidRPr="0041580C">
        <w:t>The member will not exceed a dose of 80 mg/kg once weekly.</w:t>
      </w:r>
    </w:p>
    <w:p w14:paraId="2A1894EF" w14:textId="52A3412E" w:rsidR="0050164C" w:rsidRPr="0041580C" w:rsidRDefault="0050164C" w:rsidP="0050164C">
      <w:pPr>
        <w:pStyle w:val="ListParagraph"/>
        <w:numPr>
          <w:ilvl w:val="0"/>
          <w:numId w:val="34"/>
        </w:numPr>
        <w:contextualSpacing w:val="0"/>
      </w:pPr>
      <w:r w:rsidRPr="0041580C">
        <w:t>The requested medication will not be used concomitantly with golodirsen.</w:t>
      </w:r>
    </w:p>
    <w:p w14:paraId="784D6ED7" w14:textId="4E07D252" w:rsidR="008B1332" w:rsidRPr="0041580C" w:rsidRDefault="00B65538" w:rsidP="008B1332">
      <w:pPr>
        <w:pStyle w:val="Heading2"/>
      </w:pPr>
      <w:r w:rsidRPr="0041580C">
        <w:t>Appendix</w:t>
      </w:r>
    </w:p>
    <w:p w14:paraId="2F78B6C0" w14:textId="77777777" w:rsidR="006843C8" w:rsidRPr="0041580C" w:rsidRDefault="006843C8" w:rsidP="006843C8">
      <w:pPr>
        <w:pStyle w:val="BodyText"/>
      </w:pPr>
      <w:r w:rsidRPr="0041580C">
        <w:t>Examples of DMD gene mutations (exon deletions) amenable to exon 53 skipping (not an all-inclusive list):</w:t>
      </w:r>
    </w:p>
    <w:p w14:paraId="521E5CC3" w14:textId="726274A9" w:rsidR="006843C8" w:rsidRPr="0041580C" w:rsidRDefault="006843C8" w:rsidP="006843C8">
      <w:pPr>
        <w:pStyle w:val="ListParagraph"/>
        <w:numPr>
          <w:ilvl w:val="0"/>
          <w:numId w:val="36"/>
        </w:numPr>
        <w:contextualSpacing w:val="0"/>
      </w:pPr>
      <w:r w:rsidRPr="0041580C">
        <w:t>Deletion of exon 52</w:t>
      </w:r>
    </w:p>
    <w:p w14:paraId="71D99587" w14:textId="07713368" w:rsidR="006843C8" w:rsidRPr="0041580C" w:rsidRDefault="006843C8" w:rsidP="006843C8">
      <w:pPr>
        <w:pStyle w:val="ListParagraph"/>
        <w:numPr>
          <w:ilvl w:val="0"/>
          <w:numId w:val="36"/>
        </w:numPr>
        <w:contextualSpacing w:val="0"/>
      </w:pPr>
      <w:r w:rsidRPr="0041580C">
        <w:t>Deletion of exon 45-52</w:t>
      </w:r>
    </w:p>
    <w:p w14:paraId="434A6370" w14:textId="3AACE4BE" w:rsidR="006843C8" w:rsidRPr="0041580C" w:rsidRDefault="006843C8" w:rsidP="006843C8">
      <w:pPr>
        <w:pStyle w:val="ListParagraph"/>
        <w:numPr>
          <w:ilvl w:val="0"/>
          <w:numId w:val="36"/>
        </w:numPr>
        <w:contextualSpacing w:val="0"/>
      </w:pPr>
      <w:r w:rsidRPr="0041580C">
        <w:t>Deletion of exon 47-52</w:t>
      </w:r>
    </w:p>
    <w:p w14:paraId="17D5A239" w14:textId="2E6AB3F3" w:rsidR="006843C8" w:rsidRPr="0041580C" w:rsidRDefault="006843C8" w:rsidP="006843C8">
      <w:pPr>
        <w:pStyle w:val="ListParagraph"/>
        <w:numPr>
          <w:ilvl w:val="0"/>
          <w:numId w:val="36"/>
        </w:numPr>
        <w:contextualSpacing w:val="0"/>
      </w:pPr>
      <w:r w:rsidRPr="0041580C">
        <w:t>Deletion of exon 48-52</w:t>
      </w:r>
    </w:p>
    <w:p w14:paraId="79BD12B6" w14:textId="48287A6B" w:rsidR="006843C8" w:rsidRPr="0041580C" w:rsidRDefault="006843C8" w:rsidP="006843C8">
      <w:pPr>
        <w:pStyle w:val="ListParagraph"/>
        <w:numPr>
          <w:ilvl w:val="0"/>
          <w:numId w:val="36"/>
        </w:numPr>
        <w:contextualSpacing w:val="0"/>
      </w:pPr>
      <w:r w:rsidRPr="0041580C">
        <w:t>Deletion of exon 49-52</w:t>
      </w:r>
    </w:p>
    <w:p w14:paraId="0403CEA8" w14:textId="529C9FA0" w:rsidR="006843C8" w:rsidRPr="0041580C" w:rsidRDefault="006843C8" w:rsidP="006843C8">
      <w:pPr>
        <w:pStyle w:val="ListParagraph"/>
        <w:numPr>
          <w:ilvl w:val="0"/>
          <w:numId w:val="36"/>
        </w:numPr>
        <w:contextualSpacing w:val="0"/>
      </w:pPr>
      <w:r w:rsidRPr="0041580C">
        <w:t>Deletion of exon 50-52</w:t>
      </w:r>
    </w:p>
    <w:p w14:paraId="10DA4309" w14:textId="6CF01DBC" w:rsidR="00FF66BF" w:rsidRPr="0041580C" w:rsidRDefault="00FF66BF" w:rsidP="00FF66BF">
      <w:pPr>
        <w:pStyle w:val="Heading2"/>
      </w:pPr>
      <w:r w:rsidRPr="0041580C">
        <w:t>References</w:t>
      </w:r>
    </w:p>
    <w:p w14:paraId="3B169873" w14:textId="77777777" w:rsidR="006843C8" w:rsidRPr="0041580C" w:rsidRDefault="006843C8" w:rsidP="0041580C">
      <w:pPr>
        <w:pStyle w:val="ReferenceOrdered"/>
      </w:pPr>
      <w:r w:rsidRPr="0041580C">
        <w:t>Viltepso [package insert]. Paramus, NJ: NS Pharma, Inc.; March 2021.</w:t>
      </w:r>
    </w:p>
    <w:p w14:paraId="47E1A10C" w14:textId="26FCDF1B" w:rsidR="00C44990" w:rsidRPr="0041580C" w:rsidRDefault="006843C8" w:rsidP="008C170B">
      <w:pPr>
        <w:pStyle w:val="ReferenceOrdered"/>
      </w:pPr>
      <w:r w:rsidRPr="0041580C">
        <w:t xml:space="preserve">Watanabe N, Nagata T, Satou Y, et al. NS-065/NCNP-01: An Antisense Oligonucleotide for Potential Treatment of Exon 53 Skipping in Duchenne Muscular Dystrophy. </w:t>
      </w:r>
      <w:r w:rsidRPr="00D30D3F">
        <w:rPr>
          <w:i/>
          <w:iCs/>
        </w:rPr>
        <w:t>Mol Ther Nucleic Acids</w:t>
      </w:r>
      <w:r w:rsidRPr="0041580C">
        <w:t>. 2018;13:442–449. doi:10.1016/j.omtn.2018.09.017</w:t>
      </w:r>
    </w:p>
    <w:sectPr w:rsidR="00C44990" w:rsidRPr="0041580C" w:rsidSect="008C170B">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4320D" w14:textId="77777777" w:rsidR="00E22578" w:rsidRDefault="00E22578">
      <w:r>
        <w:separator/>
      </w:r>
    </w:p>
  </w:endnote>
  <w:endnote w:type="continuationSeparator" w:id="0">
    <w:p w14:paraId="20CE12C9" w14:textId="77777777" w:rsidR="00E22578" w:rsidRDefault="00E22578">
      <w:r>
        <w:continuationSeparator/>
      </w:r>
    </w:p>
  </w:endnote>
  <w:endnote w:type="continuationNotice" w:id="1">
    <w:p w14:paraId="2BF83762" w14:textId="77777777" w:rsidR="00E22578" w:rsidRDefault="00E22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515838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5463A" w:rsidRPr="0055463A">
      <w:rPr>
        <w:rFonts w:cs="Arial"/>
        <w:noProof/>
        <w:sz w:val="16"/>
        <w:szCs w:val="16"/>
      </w:rPr>
      <w:t>Viltepso</w:t>
    </w:r>
    <w:r w:rsidR="0055463A">
      <w:rPr>
        <w:rFonts w:cs="Arial"/>
        <w:noProof/>
        <w:snapToGrid w:val="0"/>
        <w:color w:val="000000"/>
        <w:sz w:val="16"/>
        <w:szCs w:val="16"/>
      </w:rPr>
      <w:t xml:space="preserve"> SGM 4088-A</w:t>
    </w:r>
    <w:r w:rsidR="0055463A" w:rsidRPr="0055463A">
      <w:rPr>
        <w:rFonts w:cs="Arial"/>
        <w:noProof/>
        <w:sz w:val="16"/>
        <w:szCs w:val="16"/>
      </w:rPr>
      <w:t xml:space="preserve"> P2024</w:t>
    </w:r>
    <w:r w:rsidR="0055463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C63FB8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F80A167" w:rsidR="00F75C81" w:rsidRPr="00AA1E6A" w:rsidRDefault="00C36B72" w:rsidP="008C170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EC3374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90A0E" w:rsidRPr="00B90A0E">
      <w:rPr>
        <w:rFonts w:cs="Arial"/>
        <w:noProof/>
        <w:sz w:val="16"/>
        <w:szCs w:val="16"/>
      </w:rPr>
      <w:t>Viltepso</w:t>
    </w:r>
    <w:r w:rsidR="00B90A0E">
      <w:rPr>
        <w:rFonts w:cs="Arial"/>
        <w:noProof/>
        <w:snapToGrid w:val="0"/>
        <w:color w:val="000000"/>
        <w:sz w:val="16"/>
        <w:szCs w:val="16"/>
      </w:rPr>
      <w:t xml:space="preserve"> SGM 4088-A</w:t>
    </w:r>
    <w:r w:rsidR="00B90A0E" w:rsidRPr="00B90A0E">
      <w:rPr>
        <w:rFonts w:cs="Arial"/>
        <w:noProof/>
        <w:sz w:val="16"/>
        <w:szCs w:val="16"/>
      </w:rPr>
      <w:t xml:space="preserve"> P2024</w:t>
    </w:r>
    <w:r w:rsidR="00B90A0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F3D8B3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7B034B9" w:rsidR="00ED04EC" w:rsidRPr="00F50D98" w:rsidRDefault="00F50D98" w:rsidP="008C170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9436" w14:textId="2C19C138" w:rsidR="0041580C" w:rsidRPr="0041580C" w:rsidRDefault="0041580C" w:rsidP="004158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BDAD" w14:textId="77777777" w:rsidR="00E22578" w:rsidRDefault="00E22578">
      <w:r>
        <w:separator/>
      </w:r>
    </w:p>
  </w:footnote>
  <w:footnote w:type="continuationSeparator" w:id="0">
    <w:p w14:paraId="04C75F50" w14:textId="77777777" w:rsidR="00E22578" w:rsidRDefault="00E22578">
      <w:r>
        <w:continuationSeparator/>
      </w:r>
    </w:p>
  </w:footnote>
  <w:footnote w:type="continuationNotice" w:id="1">
    <w:p w14:paraId="6D81C259" w14:textId="77777777" w:rsidR="00E22578" w:rsidRDefault="00E225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41580C">
          <w:pPr>
            <w:pStyle w:val="RefTableData"/>
          </w:pPr>
          <w:r w:rsidRPr="00AA1E6A">
            <w:t>Reference number(s)</w:t>
          </w:r>
        </w:p>
      </w:tc>
    </w:tr>
    <w:tr w:rsidR="00ED04EC" w:rsidRPr="00ED04EC" w14:paraId="703C6588" w14:textId="77777777" w:rsidTr="0006569F">
      <w:trPr>
        <w:trHeight w:val="378"/>
        <w:jc w:val="right"/>
      </w:trPr>
      <w:tc>
        <w:tcPr>
          <w:tcW w:w="1854" w:type="dxa"/>
          <w:hideMark/>
        </w:tcPr>
        <w:p w14:paraId="51CE3E64" w14:textId="54F63163" w:rsidR="00ED04EC" w:rsidRPr="004C7F1D" w:rsidRDefault="00AD09F4" w:rsidP="0041580C">
          <w:pPr>
            <w:pStyle w:val="RefTableData"/>
          </w:pPr>
          <w:r>
            <w:t>4088-A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1580C" w:rsidRPr="0041580C" w14:paraId="01BF8139" w14:textId="77777777" w:rsidTr="0041580C">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793BAF42" w14:textId="77777777" w:rsidR="0041580C" w:rsidRPr="0041580C" w:rsidRDefault="0041580C" w:rsidP="0041580C">
          <w:pPr>
            <w:pStyle w:val="RefTableData"/>
          </w:pPr>
          <w:r w:rsidRPr="0041580C">
            <w:t>Reference number(s)</w:t>
          </w:r>
        </w:p>
      </w:tc>
    </w:tr>
    <w:tr w:rsidR="0041580C" w:rsidRPr="0041580C" w14:paraId="1A566337" w14:textId="77777777" w:rsidTr="003C46E2">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ACD2021" w14:textId="77777777" w:rsidR="0041580C" w:rsidRPr="0041580C" w:rsidRDefault="0041580C" w:rsidP="0041580C">
          <w:pPr>
            <w:pStyle w:val="RefTableData"/>
          </w:pPr>
          <w:r w:rsidRPr="0041580C">
            <w:t>4088-A</w:t>
          </w:r>
        </w:p>
      </w:tc>
    </w:tr>
  </w:tbl>
  <w:p w14:paraId="2A577BF8" w14:textId="77777777" w:rsidR="0041580C" w:rsidRPr="0041580C" w:rsidRDefault="0041580C">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B4DA3"/>
    <w:multiLevelType w:val="hybridMultilevel"/>
    <w:tmpl w:val="004CC46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00F23E3"/>
    <w:multiLevelType w:val="hybridMultilevel"/>
    <w:tmpl w:val="5184C51C"/>
    <w:lvl w:ilvl="0" w:tplc="7C38F7AC">
      <w:start w:val="1"/>
      <w:numFmt w:val="upperLetter"/>
      <w:lvlText w:val="%1."/>
      <w:lvlJc w:val="left"/>
      <w:pPr>
        <w:ind w:left="1080" w:hanging="720"/>
      </w:pPr>
      <w:rPr>
        <w:rFonts w:hint="default"/>
      </w:rPr>
    </w:lvl>
    <w:lvl w:ilvl="1" w:tplc="71B00B1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593811"/>
    <w:multiLevelType w:val="hybridMultilevel"/>
    <w:tmpl w:val="6D689840"/>
    <w:lvl w:ilvl="0" w:tplc="2CF897E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C27381"/>
    <w:multiLevelType w:val="hybridMultilevel"/>
    <w:tmpl w:val="BE042A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DB5063"/>
    <w:multiLevelType w:val="hybridMultilevel"/>
    <w:tmpl w:val="6FE08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60695"/>
    <w:multiLevelType w:val="hybridMultilevel"/>
    <w:tmpl w:val="E85CBA8A"/>
    <w:lvl w:ilvl="0" w:tplc="07FCA004">
      <w:start w:val="1"/>
      <w:numFmt w:val="upperLetter"/>
      <w:lvlText w:val="%1."/>
      <w:lvlJc w:val="left"/>
      <w:pPr>
        <w:ind w:left="1080" w:hanging="720"/>
      </w:pPr>
      <w:rPr>
        <w:rFonts w:hint="default"/>
      </w:rPr>
    </w:lvl>
    <w:lvl w:ilvl="1" w:tplc="F26C997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3F6D2B"/>
    <w:multiLevelType w:val="hybridMultilevel"/>
    <w:tmpl w:val="208026DE"/>
    <w:lvl w:ilvl="0" w:tplc="D0C234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1D6C92"/>
    <w:multiLevelType w:val="hybridMultilevel"/>
    <w:tmpl w:val="F1248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B71F7"/>
    <w:multiLevelType w:val="hybridMultilevel"/>
    <w:tmpl w:val="0A3AB21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E45D7"/>
    <w:multiLevelType w:val="hybridMultilevel"/>
    <w:tmpl w:val="F570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2"/>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5"/>
  </w:num>
  <w:num w:numId="18" w16cid:durableId="299724409">
    <w:abstractNumId w:val="27"/>
  </w:num>
  <w:num w:numId="19" w16cid:durableId="214585573">
    <w:abstractNumId w:val="14"/>
  </w:num>
  <w:num w:numId="20" w16cid:durableId="1289816170">
    <w:abstractNumId w:val="15"/>
  </w:num>
  <w:num w:numId="21" w16cid:durableId="1066490929">
    <w:abstractNumId w:val="36"/>
  </w:num>
  <w:num w:numId="22" w16cid:durableId="1472481103">
    <w:abstractNumId w:val="31"/>
  </w:num>
  <w:num w:numId="23" w16cid:durableId="1997420403">
    <w:abstractNumId w:val="34"/>
  </w:num>
  <w:num w:numId="24" w16cid:durableId="33312838">
    <w:abstractNumId w:val="28"/>
  </w:num>
  <w:num w:numId="25" w16cid:durableId="507404939">
    <w:abstractNumId w:val="19"/>
  </w:num>
  <w:num w:numId="26" w16cid:durableId="1950313333">
    <w:abstractNumId w:val="24"/>
  </w:num>
  <w:num w:numId="27" w16cid:durableId="1866016584">
    <w:abstractNumId w:val="22"/>
  </w:num>
  <w:num w:numId="28" w16cid:durableId="24445308">
    <w:abstractNumId w:val="18"/>
  </w:num>
  <w:num w:numId="29" w16cid:durableId="2011374101">
    <w:abstractNumId w:val="16"/>
  </w:num>
  <w:num w:numId="30" w16cid:durableId="952320317">
    <w:abstractNumId w:val="10"/>
  </w:num>
  <w:num w:numId="31" w16cid:durableId="2027172132">
    <w:abstractNumId w:val="29"/>
  </w:num>
  <w:num w:numId="32" w16cid:durableId="409887003">
    <w:abstractNumId w:val="23"/>
  </w:num>
  <w:num w:numId="33" w16cid:durableId="1473475207">
    <w:abstractNumId w:val="30"/>
  </w:num>
  <w:num w:numId="34" w16cid:durableId="625894372">
    <w:abstractNumId w:val="33"/>
  </w:num>
  <w:num w:numId="35" w16cid:durableId="234777373">
    <w:abstractNumId w:val="17"/>
  </w:num>
  <w:num w:numId="36" w16cid:durableId="295528953">
    <w:abstractNumId w:val="21"/>
  </w:num>
  <w:num w:numId="37" w16cid:durableId="1845440854">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6EA4"/>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872"/>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69D"/>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E9D"/>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3BC"/>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80C"/>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64C"/>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63A"/>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3C8"/>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3B31"/>
    <w:rsid w:val="007242A5"/>
    <w:rsid w:val="00725033"/>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66E78"/>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278"/>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70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2C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09F4"/>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0A0E"/>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A96"/>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D3F"/>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72F"/>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03C3"/>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578"/>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DCA8F6-3DDE-4954-8E95-5426E02623F8}"/>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580</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Viltepso 4088-A SGM 2024</dc:title>
  <dc:subject/>
  <dc:creator>CVS Caremark</dc:creator>
  <cp:keywords/>
  <cp:lastModifiedBy>Pan, Stacey J</cp:lastModifiedBy>
  <cp:revision>12</cp:revision>
  <cp:lastPrinted>2018-01-09T05:01:00Z</cp:lastPrinted>
  <dcterms:created xsi:type="dcterms:W3CDTF">2024-04-25T14:03:00Z</dcterms:created>
  <dcterms:modified xsi:type="dcterms:W3CDTF">2025-01-03T14:51:00Z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851800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